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25</w:t>
      </w:r>
    </w:p>
    <w:p>
      <w:r>
        <w:t>Bundesgericht (BGE), 1994-01-24, DE</w:t>
      </w:r>
    </w:p>
    <w:p>
      <w:r>
        <w:rPr>
          <w:b/>
        </w:rPr>
        <w:t xml:space="preserve">Quelle: </w:t>
      </w:r>
      <w:r>
        <w:t>https://mcp.opencaselaw.ch/entscheid/bge_120 IV 25</w:t>
      </w:r>
    </w:p>
    <w:p>
      <w:r>
        <w:t>FR: ATF 120 IV 25</w:t>
      </w:r>
    </w:p>
    <w:p>
      <w:r>
        <w:t>IT: DTF 120 IV 25</w:t>
      </w:r>
    </w:p>
    <w:p>
      <w:pPr>
        <w:pStyle w:val="Heading2"/>
      </w:pPr>
      <w:r>
        <w:t>Regeste</w:t>
      </w:r>
    </w:p>
    <w:p>
      <w:r>
        <w:t>Regeste Art. 251 Ziff. 1 StGB; Falschbeurkundung. Die Errichtung einer inhaltlich falschen einfach-schriftlichen Vertragsurkunde stellt nur dann eine Falschbeurkundung dar, wenn besondere Garantien dafür bestehen, dass die beiden übereinstimmend abgegebenen Erklärungen dem wirklichen Willen der Vertragsparteien entsprechen (E. 3f; Bestätigung der in BGE 117 IV 35 begründeten Rechtsprechung).</w:t>
      </w:r>
    </w:p>
    <w:p>
      <w:pPr>
        <w:pStyle w:val="Heading2"/>
      </w:pPr>
      <w:r>
        <w:t>Erwägungen</w:t>
      </w:r>
    </w:p>
    <w:p>
      <w:r>
        <w:rPr>
          <w:b/>
        </w:rPr>
        <w:t>E. 2</w:t>
      </w:r>
    </w:p>
    <w:p>
      <w:r>
        <w:t>a) Die Vorinstanz verurteilte den Beschwerdeführer in ihrem neuen Entscheid in bezug auf Offerten/Bestellungen wegen Falschbeurkundung. Das Bundesgericht hatte ihr erstes Urteil insoweit in Anwendung von Art. 277 BStP aufgehoben, weil nicht ersichtlich war, welcher Sachverhalt dem Tatbestand der Urkundenfälschung zugrundegelegt wurde. In ihrem neuen Urteil verdeutlicht die Vorinstanz zunächst den Sachverhalt anhand eines Pilotfalles. Im Anschluss daran stellt sie - einer Weisung des Bundesgerichts folgend - klar, dass sie hier die Urkundenfälschung nicht unter dem Gesichtspunkt der Echtheit der Urkunden, sondern unter jenem der Wahrheit prüfe. Zu beurteilen sei, ob der Abschluss inhaltlich unrichtiger Kaufverträge durch schriftliche Offerten und gestützt darauf erfolgende schriftliche Bestellungen eine Falschbeurkundung darstelle. Die Vorinstanz stellt fest, die Verträge seien nur zum Schein geschlossen worden. Offerten und Bestellungen seien fiktiv gewesen. Der Beschwerdeführer, spiritus rector der betreffenden Firmen, habe weder die vertraglich vereinbarte hochwertige Software liefern noch die Kaufpreise bezahlen wollen. Die Offerten und die ihnen entsprechenden Bestellungen stellten eine Einheit dar und bildeten zusammen einen schriftlichen Vertrag. Insofern seien sie Urkunden. b) Der Beschwerdeführer macht geltend, bei den Offerten und Bestellungen handle es sich nicht um Urkunden. Die Verurteilung wegen Falschbeurkundung im vorliegenden Punkt verletze deshalb Bundesrecht.</w:t>
      </w:r>
    </w:p>
    <w:p>
      <w:r>
        <w:rPr>
          <w:b/>
        </w:rPr>
        <w:t>E. 3</w:t>
      </w:r>
    </w:p>
    <w:p>
      <w:r>
        <w:t>a) Eine Falschbeurkundung gemäss Art. 251 Ziff. 1 StGB begeht, wer eine rechtlich erhebliche Tatsache unrichtig beurkundet oder beurkunden lässt, in der Absicht, jemanden am Vermögen oder an anderen Rechten zu schädigen oder sich oder einem andern einen unrechtmässigen Vorteil zu verschaffen. Urkunden sind unter anderem Schriften, die bestimmt und geeignet sind, eine Tatsache von rechtlicher Bedeutung zu beweisen ( Art. 110 Ziff. 5 Abs. 1 StGB ; BGE 101 IV 278 ). b) Der Urkundencharakter eines Schriftstückes ist relativ. Es kann mit Bezug auf bestimmte Aspekte Urkundencharakter haben, mit Bezug auf andere BGE 120 IV 25 S. 27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den Umständen, durch ihre Beseitigung (Urkundenunterdrückung; BGE 119 IV 54 E. 2c/aa). Entsprechendes gilt für Geschäftskorrespondenzen wie hier. Einer schriftlichen Offerte kommt insoweit Urkundencharakter zu, als sich aus ihr ergibt, dass die unterzeichnete Person das in dem Schriftstück enthaltene Angebot gemacht hat; der schriftlichen Annahme einer Offerte kommt insoweit Urkundencharakter zu, als sich aus ihr ergibt, dass der Empfänger der Offerte eine Erklärung abgegeben hat, mit welcher er die Offerte annimmt. Mit der Aussage, dass ein Schriftstück prinzipiell Urkundencharakter haben kann, ist jedoch noch keine Antwort darauf gegeben, ob eine Falschbeurkundung vorliegt, wenn Offerten schriftlich abgegeben und schriftlich angenommen werden, obwohl die Beteiligten keinen Vertrag schliessen wollen oder gegebenenfalls einen Vertrag, der vom Inhalt der Offerte und der Annahme abweicht. c) Bei der Falschbeurkundung geht es allein darum, dass die in der Urkunde enthaltene Erklärung nicht mit der Wahrheit übereinstimmt, wobei nach allgemeiner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gewährleisten, wie sie u.a. in der Prüfungspflicht einer Urkundsperson und in gesetzlichen Vorschriften gefunden werden können,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119 IV 54 E. 2c/bb mit Hinweisen). In seiner neueren Rechtsprechung hat das Bundesgericht deshalb eine Falschbeurkundung in folgenden Fällen verneint: Erstellen einer Rechnung für nicht ausgeführte Arbeiten ( BGE 117 IV 35 ); zuhanden einer Anlegerin ausgestellte inhaltlich unrichtige Bestätigung, wonach der Aussteller BGE 120 IV 25 S. 28 einen von der Anlegerin einem Dritten übergebenen Geldbetrag auf treuhänderischer Basis verwalte und einen bestimmten Jahreszins entrichten werde ( BGE 117 IV 168 mit Hinweis); Erstellen von inhaltlich unwahren Regierapporten ( BGE 117 IV 165 ); Ausstellung von Lohnabrechnungen auf den Namen einer Person, die nicht mit dem wirklichen Arbeitnehmer identisch war ( BGE 118 IV 363 ). Demgegenüber erfüllt nach der bundesgerichtlichen Rechtsprechung ein Arzt, der einen unrichtigen Krankenschein erstellt, den Tatbestand der Falschbeurkundung. Mit einem Krankenschein macht der Arzt gegenüber der Krankenkasse Leistungen für sich oder den Patienten geltend. Aufgrund seiner besonderen Stellung ist er zur wahrheitsgetreuen Angabe verpflichtet und deshalb besonders glaubwürdig ( BGE 117 IV 169 f. mit Hinweis auf BGE 103 IV 184 ). Dem Krankenschein kommt somit eine über eine einfache schriftliche Erklärung hinausgehende qualifizierte Funktion zu. In BGE 103 IV 184 f. wurde dies im wesentlichen begründet mit dem besonderen Vertrauensverhältnis, in welchem der Arzt zur Krankenkasse steht, sowie damit, dass sich die Ärzte vertraglich verpflichtet hatten, jeder unberechtigten Inanspruchnahme der Kasse entgegenzuwirken. Eine Falschbeurkundung begeht nach der neueren Rechtsprechung auch der bauleitende Architekt, der überhöhte Rechnungen der Unternehmer prüft und schriftlich genehmigt. Soweit er die Pflicht zur ordnungsgemässen Prüfung der Schlussabrechnung übernommen hat, befindet er sich in einer garantenähnlichen Stellung in bezug auf das Vermögen des Bauherrn. Die in der schriftlichen Genehmigung der Unternehmerrechnung liegende Erklärung des Architekten, die genehmigte Rechnung sei inhaltlich richtig, unterscheidet sich deshalb erheblich von einer einfachen schriftlichen Lüge ( BGE 119 IV 54 E. 2d). Den Tatbestand der Falschbeurkundung erfüllt ferner der Grossist, der afrikanisches Antilopenfleisch als europäisches Wildfleisch bezeichnet. Das Gesetz verlangt eine korrekte Bezeichnung von Wildfleisch bereits im Grosshandel. Der Grossist befindet sich damit in einer garantenähnlichen Stellung zum Schutz der Konsumenten vor Täuschungen ( BGE 119 IV 289 , E. 4). d) Die Vorinstanz geht auf die neuere restriktive Rechtsprechung des Bundesgerichts zum Tatbestand der Falschbeurkundung nicht ein, obwohl ihr BGE 117 IV 35 und 117 IV 165 bekannt sein mussten. Sie stützt sich ausschliesslich auf frühere Entscheide. Soweit sie dabei auf Urteile verweist, wo der Urkundencharakter von Verträgen bejaht wurde im BGE 120 IV 25 S. 29 Zusammenhang mit dem Tatbestand der Urkundenfälschung im engeren Sinne oder mit dem Tatbestand der Erschleichung einer Falschbeurkundung ( Art. 253 StGB ), ist diese Rechtsprechung aus den in Erwägung 3b dargelegten Gründen nicht einschlägig. e) Zutreffend ist hingegen, dass in BGE 100 IV 273 (E. 4) sowie BGE 97 IV 210 (E. 5) angenommen wurde, der Tatbestand der einfachen Falschbeurkundung könne auch durch das Erstellen inhaltlich unrichtiger schriftlicher Verträge erfüllt werden. Jedenfalls BGE 97 IV 210 (zurückdatierter fingierter Kaufvertrag) bezieht sich jedoch auf eine aus einem einzigen Schriftstück bestehende Vertragsurkunde im Sinne von Art. 13 Abs. 1 OR (SCHÖNENBERGER/JÄGGI, Obligationenrecht, Zürcher Kommentar, Art. 13 N. 59). Derartige Vertragsurkunden haben hier nicht bestanden, sondern nur Geschäftskorrespondenzen. Schon deshalb kann man sich fragen, ob auf die genannten Entscheidungen zurückzugreifen war. Dies kann jedoch offenbleiben, weil die Voraussetzungen einer Falschbeurkundung aus den nachstehenden Gründen zu verneinen sind. f) Eine einfach-schriftliche Vertragsurkunde beweist, dass zwei Personen übereinstimmend eine bestimmte Willenserklärung abgegeben haben. Dafür ist die Urkundeneigenschaft zu bejahen mit den in Erwägung 3b erwähnten Folgen. Eine einfach-schriftliche Vertragsurkunde beweist dagegen nicht, dass die beiden übereinstimmend abgegebenen Erklärungen dem wirklichen Willen der Vertragsparteien entsprechen. Sie beweist insbesondere nicht, dass Willensmängel bei den Vertragsparteien auszuschliessen sind, und sie beweist nicht, dass keine Simulation gegeben ist. Für die inhaltliche Richtigkeit eines einfach-schriftlichen Vertrages bedarf es besonderer Garantien, wie sie von der neueren Rechtsprechung entwickelt worden sind. Die unterzeichneten Vertragspartner müssen sich gegenüber dem Getäuschten in einer garantenähnlichen Stellung befinden, vergleichbar mit jener in den in Erwägung 3c Abs. 3 erwähnten Fällen. Dass dem Beschwerdeführer hier eine solche Stellung zugekommen wäre, ist dem angefochtenen Urteil nicht zu entnehmen. Andere Gesichtspunkte dafür, dass im Sinne der Rechtsprechung allgemeingültige objektive Garantien die Wahrheit der Erklärung gewährleisten, sind nicht ersichtlich. Die Verurteilung wegen Falschbeurkundung im vorliegenden Punkt verletzt deshalb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